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60" w:rsidRPr="00D81B60" w:rsidRDefault="00D81B60" w:rsidP="00D81B60">
      <w:pPr>
        <w:shd w:val="clear" w:color="auto" w:fill="FFFFFF"/>
        <w:spacing w:after="0" w:line="360" w:lineRule="auto"/>
        <w:jc w:val="both"/>
        <w:outlineLvl w:val="0"/>
        <w:rPr>
          <w:rFonts w:ascii="Verdana" w:eastAsia="Times New Roman" w:hAnsi="Verdana" w:cs="Arial"/>
          <w:b/>
          <w:bCs/>
          <w:kern w:val="36"/>
          <w:sz w:val="36"/>
          <w:szCs w:val="36"/>
          <w:lang w:eastAsia="el-GR"/>
        </w:rPr>
      </w:pPr>
      <w:r w:rsidRPr="00D81B60">
        <w:rPr>
          <w:rFonts w:ascii="Verdana" w:eastAsia="Times New Roman" w:hAnsi="Verdana" w:cs="Arial"/>
          <w:b/>
          <w:bCs/>
          <w:kern w:val="36"/>
          <w:sz w:val="36"/>
          <w:szCs w:val="36"/>
          <w:lang w:eastAsia="el-GR"/>
        </w:rPr>
        <w:t>Μεταχρονολογημένες επιταγές και Συναλλαγματικές (Αξιόγραφα γενικά): Αναστολή προθεσμιών (βάσει της ΠΝΠ/30-03-2020) – 10 Ερωτήσεις και Απαντήσεις</w:t>
      </w:r>
    </w:p>
    <w:p w:rsidR="00D81B60" w:rsidRPr="00D81B60" w:rsidRDefault="00D81B60" w:rsidP="00D81B60">
      <w:pPr>
        <w:shd w:val="clear" w:color="auto" w:fill="FFFFFF"/>
        <w:spacing w:after="0" w:line="360" w:lineRule="auto"/>
        <w:jc w:val="both"/>
        <w:outlineLvl w:val="1"/>
        <w:rPr>
          <w:rFonts w:ascii="Verdana" w:eastAsia="Times New Roman" w:hAnsi="Verdana" w:cs="Arial"/>
          <w:b/>
          <w:bCs/>
          <w:sz w:val="33"/>
          <w:szCs w:val="33"/>
          <w:lang w:eastAsia="el-GR"/>
        </w:rPr>
      </w:pPr>
      <w:r w:rsidRPr="00D81B60">
        <w:rPr>
          <w:rFonts w:ascii="Verdana" w:eastAsia="Times New Roman" w:hAnsi="Verdana" w:cs="Arial"/>
          <w:b/>
          <w:bCs/>
          <w:sz w:val="33"/>
          <w:szCs w:val="33"/>
          <w:lang w:eastAsia="el-GR"/>
        </w:rPr>
        <w:t>Επισημάνσεις</w:t>
      </w:r>
    </w:p>
    <w:p w:rsidR="00D81B60" w:rsidRDefault="00D81B60" w:rsidP="00D81B60">
      <w:pPr>
        <w:spacing w:after="0" w:line="360" w:lineRule="auto"/>
        <w:rPr>
          <w:rFonts w:ascii="Verdana" w:eastAsia="Times New Roman" w:hAnsi="Verdana" w:cs="Arial"/>
          <w:sz w:val="21"/>
          <w:szCs w:val="21"/>
          <w:shd w:val="clear" w:color="auto" w:fill="FFFFFF"/>
          <w:lang w:eastAsia="el-GR"/>
        </w:rPr>
      </w:pPr>
    </w:p>
    <w:p w:rsidR="00D81B60" w:rsidRDefault="00D81B60" w:rsidP="00D81B6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D81B60">
        <w:rPr>
          <w:rFonts w:ascii="Verdana" w:eastAsia="Times New Roman" w:hAnsi="Verdana" w:cs="Arial"/>
          <w:sz w:val="21"/>
          <w:szCs w:val="21"/>
          <w:shd w:val="clear" w:color="auto" w:fill="FFFFFF"/>
          <w:lang w:eastAsia="el-GR"/>
        </w:rPr>
        <w:t>31 Μάρτιος 2020</w:t>
      </w:r>
    </w:p>
    <w:p w:rsidR="00D81B60" w:rsidRPr="00D81B60" w:rsidRDefault="00D81B60" w:rsidP="00D81B6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D81B60">
        <w:rPr>
          <w:rFonts w:ascii="Verdana" w:eastAsia="Times New Roman" w:hAnsi="Verdana" w:cs="Arial"/>
          <w:sz w:val="21"/>
          <w:szCs w:val="21"/>
          <w:shd w:val="clear" w:color="auto" w:fill="FFFFFF"/>
          <w:lang w:eastAsia="el-GR"/>
        </w:rPr>
        <w:t>Taxheaven.gr</w:t>
      </w:r>
    </w:p>
    <w:p w:rsidR="00D81B60" w:rsidRDefault="00D81B60" w:rsidP="00D81B60">
      <w:pPr>
        <w:spacing w:before="300" w:after="300" w:line="36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D81B60" w:rsidRDefault="00D81B60" w:rsidP="00D81B60">
      <w:pPr>
        <w:spacing w:before="300" w:after="300" w:line="240" w:lineRule="auto"/>
        <w:jc w:val="both"/>
        <w:rPr>
          <w:rFonts w:ascii="Verdana" w:eastAsia="Times New Roman" w:hAnsi="Verdana" w:cs="Arial"/>
          <w:i/>
          <w:iCs/>
          <w:lang w:eastAsia="el-GR"/>
        </w:rPr>
      </w:pPr>
      <w:r w:rsidRPr="00D81B60">
        <w:rPr>
          <w:rFonts w:ascii="Verdana" w:eastAsia="Times New Roman" w:hAnsi="Verdana" w:cs="Arial"/>
          <w:i/>
          <w:iCs/>
          <w:lang w:eastAsia="el-GR"/>
        </w:rPr>
        <w:t xml:space="preserve">Κωνσταντίνος </w:t>
      </w:r>
      <w:proofErr w:type="spellStart"/>
      <w:r w:rsidRPr="00D81B60">
        <w:rPr>
          <w:rFonts w:ascii="Verdana" w:eastAsia="Times New Roman" w:hAnsi="Verdana" w:cs="Arial"/>
          <w:i/>
          <w:iCs/>
          <w:lang w:eastAsia="el-GR"/>
        </w:rPr>
        <w:t>Ιωαν</w:t>
      </w:r>
      <w:proofErr w:type="spellEnd"/>
      <w:r w:rsidRPr="00D81B60">
        <w:rPr>
          <w:rFonts w:ascii="Verdana" w:eastAsia="Times New Roman" w:hAnsi="Verdana" w:cs="Arial"/>
          <w:i/>
          <w:iCs/>
          <w:lang w:eastAsia="el-GR"/>
        </w:rPr>
        <w:t xml:space="preserve">. </w:t>
      </w:r>
      <w:proofErr w:type="spellStart"/>
      <w:r w:rsidRPr="00D81B60">
        <w:rPr>
          <w:rFonts w:ascii="Verdana" w:eastAsia="Times New Roman" w:hAnsi="Verdana" w:cs="Arial"/>
          <w:i/>
          <w:iCs/>
          <w:lang w:eastAsia="el-GR"/>
        </w:rPr>
        <w:t>Νιφορόπουλος</w:t>
      </w:r>
      <w:proofErr w:type="spellEnd"/>
    </w:p>
    <w:p w:rsidR="00D81B60" w:rsidRDefault="00D81B60" w:rsidP="00D81B60">
      <w:pPr>
        <w:spacing w:before="300" w:after="300" w:line="240" w:lineRule="auto"/>
        <w:jc w:val="both"/>
        <w:rPr>
          <w:rFonts w:ascii="Verdana" w:eastAsia="Times New Roman" w:hAnsi="Verdana" w:cs="Arial"/>
          <w:i/>
          <w:iCs/>
          <w:lang w:eastAsia="el-GR"/>
        </w:rPr>
      </w:pPr>
      <w:r w:rsidRPr="00D81B60">
        <w:rPr>
          <w:rFonts w:ascii="Verdana" w:eastAsia="Times New Roman" w:hAnsi="Verdana" w:cs="Arial"/>
          <w:i/>
          <w:iCs/>
          <w:lang w:eastAsia="el-GR"/>
        </w:rPr>
        <w:t>Ορκωτός ελεγκτής λογιστής – «ΩΡΙΩΝ Α.Ε.Ο.Ε.Λ».</w:t>
      </w:r>
    </w:p>
    <w:p w:rsidR="00D81B60" w:rsidRDefault="00D81B60" w:rsidP="00D81B60">
      <w:pPr>
        <w:spacing w:before="300" w:after="300" w:line="240" w:lineRule="auto"/>
        <w:jc w:val="both"/>
        <w:rPr>
          <w:rFonts w:ascii="Verdana" w:eastAsia="Times New Roman" w:hAnsi="Verdana" w:cs="Arial"/>
          <w:b/>
          <w:bCs/>
          <w:i/>
          <w:iCs/>
          <w:lang w:eastAsia="el-GR"/>
        </w:rPr>
      </w:pPr>
      <w:r w:rsidRPr="00D81B60">
        <w:rPr>
          <w:rFonts w:ascii="Verdana" w:eastAsia="Times New Roman" w:hAnsi="Verdana" w:cs="Arial"/>
          <w:i/>
          <w:iCs/>
          <w:lang w:eastAsia="el-GR"/>
        </w:rPr>
        <w:t>Επιστημονικός Συνεργάτης </w:t>
      </w:r>
      <w:proofErr w:type="spellStart"/>
      <w:r w:rsidRPr="00D81B60">
        <w:rPr>
          <w:rFonts w:ascii="Verdana" w:eastAsia="Times New Roman" w:hAnsi="Verdana" w:cs="Arial"/>
          <w:b/>
          <w:bCs/>
          <w:i/>
          <w:iCs/>
          <w:lang w:eastAsia="el-GR"/>
        </w:rPr>
        <w:t>Taxheaven</w:t>
      </w:r>
      <w:proofErr w:type="spellEnd"/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b/>
          <w:bCs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br/>
      </w:r>
      <w:r w:rsidRPr="00D81B60">
        <w:rPr>
          <w:rFonts w:ascii="Verdana" w:eastAsia="Times New Roman" w:hAnsi="Verdana" w:cs="Arial"/>
          <w:lang w:eastAsia="el-GR"/>
        </w:rPr>
        <w:br/>
      </w:r>
      <w:r w:rsidRPr="00D81B60">
        <w:rPr>
          <w:rFonts w:ascii="Verdana" w:eastAsia="Times New Roman" w:hAnsi="Verdana" w:cs="Arial"/>
          <w:lang w:eastAsia="el-GR"/>
        </w:rPr>
        <w:br/>
      </w:r>
      <w:r w:rsidRPr="00D81B60">
        <w:rPr>
          <w:rFonts w:ascii="Verdana" w:eastAsia="Times New Roman" w:hAnsi="Verdana" w:cs="Arial"/>
          <w:b/>
          <w:bCs/>
          <w:lang w:eastAsia="el-GR"/>
        </w:rPr>
        <w:t>1) Ποιες επιταγές (αξιόγραφα) αφορά;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b/>
          <w:bCs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Αφορά Επιταγές, που λήγουν από τις 30 Μαρτίου 2020 και μέχρι την 31η Μαΐου 2020.</w:t>
      </w:r>
      <w:r w:rsidRPr="00D81B60">
        <w:rPr>
          <w:rFonts w:ascii="Verdana" w:eastAsia="Times New Roman" w:hAnsi="Verdana" w:cs="Arial"/>
          <w:lang w:eastAsia="el-GR"/>
        </w:rPr>
        <w:br/>
      </w:r>
      <w:r w:rsidRPr="00D81B60">
        <w:rPr>
          <w:rFonts w:ascii="Verdana" w:eastAsia="Times New Roman" w:hAnsi="Verdana" w:cs="Arial"/>
          <w:lang w:eastAsia="el-GR"/>
        </w:rPr>
        <w:br/>
      </w:r>
      <w:r w:rsidRPr="00D81B60">
        <w:rPr>
          <w:rFonts w:ascii="Verdana" w:eastAsia="Times New Roman" w:hAnsi="Verdana" w:cs="Arial"/>
          <w:b/>
          <w:bCs/>
          <w:lang w:eastAsia="el-GR"/>
        </w:rPr>
        <w:t>2) Ποιες Επιχειρήσεις, μπορούν να ζητήσουν «αναστολή προθεσμιών»;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α) (Άμεσα) Επιχειρήσεις με «Κωδικούς Αριθμ</w:t>
      </w:r>
      <w:r>
        <w:rPr>
          <w:rFonts w:ascii="Verdana" w:eastAsia="Times New Roman" w:hAnsi="Verdana" w:cs="Arial"/>
          <w:lang w:eastAsia="el-GR"/>
        </w:rPr>
        <w:t>ούς Δραστηριότητας (ΚΑΔ)» που:</w:t>
      </w:r>
      <w:r>
        <w:rPr>
          <w:rFonts w:ascii="Verdana" w:eastAsia="Times New Roman" w:hAnsi="Verdana" w:cs="Arial"/>
          <w:lang w:eastAsia="el-GR"/>
        </w:rPr>
        <w:br/>
      </w:r>
      <w:r w:rsidRPr="00D81B60">
        <w:rPr>
          <w:rFonts w:ascii="Verdana" w:eastAsia="Times New Roman" w:hAnsi="Verdana" w:cs="Arial"/>
          <w:lang w:eastAsia="el-GR"/>
        </w:rPr>
        <w:t>• είτε έχουν αναστείλει τη δραστηριότητά τους κατ’ εφαρμογή κανον</w:t>
      </w:r>
      <w:r>
        <w:rPr>
          <w:rFonts w:ascii="Verdana" w:eastAsia="Times New Roman" w:hAnsi="Verdana" w:cs="Arial"/>
          <w:lang w:eastAsia="el-GR"/>
        </w:rPr>
        <w:t>ιστικών πράξεων της Διοίκησης,</w:t>
      </w:r>
      <w:r>
        <w:rPr>
          <w:rFonts w:ascii="Verdana" w:eastAsia="Times New Roman" w:hAnsi="Verdana" w:cs="Arial"/>
          <w:lang w:eastAsia="el-GR"/>
        </w:rPr>
        <w:br/>
      </w:r>
      <w:r w:rsidRPr="00D81B60">
        <w:rPr>
          <w:rFonts w:ascii="Verdana" w:eastAsia="Times New Roman" w:hAnsi="Verdana" w:cs="Arial"/>
          <w:lang w:eastAsia="el-GR"/>
        </w:rPr>
        <w:t xml:space="preserve">• είτε έχουν πληγεί δραστικά από την επιδημία του </w:t>
      </w:r>
      <w:proofErr w:type="spellStart"/>
      <w:r w:rsidRPr="00D81B60">
        <w:rPr>
          <w:rFonts w:ascii="Verdana" w:eastAsia="Times New Roman" w:hAnsi="Verdana" w:cs="Arial"/>
          <w:lang w:eastAsia="el-GR"/>
        </w:rPr>
        <w:t>κορωνοϊού</w:t>
      </w:r>
      <w:proofErr w:type="spellEnd"/>
      <w:r w:rsidRPr="00D81B60">
        <w:rPr>
          <w:rFonts w:ascii="Verdana" w:eastAsia="Times New Roman" w:hAnsi="Verdana" w:cs="Arial"/>
          <w:lang w:eastAsia="el-GR"/>
        </w:rPr>
        <w:t xml:space="preserve"> COVID-19, δυνάμει των αποφάσεων που έχουν εκδοθεί κατ’ εξουσιοδότηση της </w:t>
      </w:r>
      <w:hyperlink r:id="rId4" w:history="1">
        <w:r w:rsidRPr="00D81B60">
          <w:rPr>
            <w:rFonts w:ascii="Verdana" w:eastAsia="Times New Roman" w:hAnsi="Verdana" w:cs="Arial"/>
            <w:lang w:eastAsia="el-GR"/>
          </w:rPr>
          <w:t>παρ. 2 του άρθρου 1</w:t>
        </w:r>
      </w:hyperlink>
      <w:r w:rsidRPr="00D81B60">
        <w:rPr>
          <w:rFonts w:ascii="Verdana" w:eastAsia="Times New Roman" w:hAnsi="Verdana" w:cs="Arial"/>
          <w:lang w:eastAsia="el-GR"/>
        </w:rPr>
        <w:t>, της </w:t>
      </w:r>
      <w:hyperlink r:id="rId5" w:history="1">
        <w:r w:rsidRPr="00D81B60">
          <w:rPr>
            <w:rFonts w:ascii="Verdana" w:eastAsia="Times New Roman" w:hAnsi="Verdana" w:cs="Arial"/>
            <w:lang w:eastAsia="el-GR"/>
          </w:rPr>
          <w:t>παρ. 2 του άρθρου 2</w:t>
        </w:r>
      </w:hyperlink>
      <w:r w:rsidRPr="00D81B60">
        <w:rPr>
          <w:rFonts w:ascii="Verdana" w:eastAsia="Times New Roman" w:hAnsi="Verdana" w:cs="Arial"/>
          <w:lang w:eastAsia="el-GR"/>
        </w:rPr>
        <w:t> και των </w:t>
      </w:r>
      <w:hyperlink r:id="rId6" w:history="1">
        <w:r w:rsidRPr="00D81B60">
          <w:rPr>
            <w:rFonts w:ascii="Verdana" w:eastAsia="Times New Roman" w:hAnsi="Verdana" w:cs="Arial"/>
            <w:lang w:eastAsia="el-GR"/>
          </w:rPr>
          <w:t>παρ. 1 και 2 του άρθρου 3</w:t>
        </w:r>
      </w:hyperlink>
      <w:r w:rsidRPr="00D81B60">
        <w:rPr>
          <w:rFonts w:ascii="Verdana" w:eastAsia="Times New Roman" w:hAnsi="Verdana" w:cs="Arial"/>
          <w:lang w:eastAsia="el-GR"/>
        </w:rPr>
        <w:t> της από 11.3.2020 Πράξης Νομοθετικού Περιεχομένου (Α΄ 55), όπως εκάστοτε ισχύουν.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lastRenderedPageBreak/>
        <w:t>β) Επιχειρήσεις με «Κωδικούς Αριθμ</w:t>
      </w:r>
      <w:r>
        <w:rPr>
          <w:rFonts w:ascii="Verdana" w:eastAsia="Times New Roman" w:hAnsi="Verdana" w:cs="Arial"/>
          <w:lang w:eastAsia="el-GR"/>
        </w:rPr>
        <w:t>ούς Δραστηριότητας (ΚΑΔ)» που:</w:t>
      </w:r>
      <w:r>
        <w:rPr>
          <w:rFonts w:ascii="Verdana" w:eastAsia="Times New Roman" w:hAnsi="Verdana" w:cs="Arial"/>
          <w:lang w:eastAsia="el-GR"/>
        </w:rPr>
        <w:br/>
      </w:r>
      <w:r w:rsidRPr="00D81B60">
        <w:rPr>
          <w:rFonts w:ascii="Verdana" w:eastAsia="Times New Roman" w:hAnsi="Verdana" w:cs="Arial"/>
          <w:lang w:eastAsia="el-GR"/>
        </w:rPr>
        <w:t xml:space="preserve">• πρόκειται να συμπεριληφθούν στις ανωτέρω αποφάσεις (α) κατά τον μήνα Απρίλιο του έτους 2020 από την επομένη της ημερομηνίας δημοσίευσης της συμπερίληψης των συγκεκριμένων ΚΑΔ στις </w:t>
      </w:r>
      <w:proofErr w:type="spellStart"/>
      <w:r w:rsidRPr="00D81B60">
        <w:rPr>
          <w:rFonts w:ascii="Verdana" w:eastAsia="Times New Roman" w:hAnsi="Verdana" w:cs="Arial"/>
          <w:lang w:eastAsia="el-GR"/>
        </w:rPr>
        <w:t>πληττόμενες</w:t>
      </w:r>
      <w:proofErr w:type="spellEnd"/>
      <w:r w:rsidRPr="00D81B60">
        <w:rPr>
          <w:rFonts w:ascii="Verdana" w:eastAsia="Times New Roman" w:hAnsi="Verdana" w:cs="Arial"/>
          <w:lang w:eastAsia="el-GR"/>
        </w:rPr>
        <w:t xml:space="preserve"> επιχειρήσεις.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b/>
          <w:bCs/>
          <w:lang w:eastAsia="el-GR"/>
        </w:rPr>
      </w:pPr>
      <w:r w:rsidRPr="00D81B60">
        <w:rPr>
          <w:rFonts w:ascii="Verdana" w:eastAsia="Times New Roman" w:hAnsi="Verdana" w:cs="Arial"/>
          <w:b/>
          <w:bCs/>
          <w:lang w:eastAsia="el-GR"/>
        </w:rPr>
        <w:t>3) Σε τι συνίσταται το μέτρο της «Αναστολής των Προθεσμιών»;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Αναστέλλονται οι προθεσμίες λήξης, εμφάνισης και πληρωμής οφειλόμενων από αυτές αξιογράφων κατά εβδομήντα πέντε (75) ημέρες από την αναγραφόμενη ημερομηνία επί εκάστου αξιογράφου.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u w:val="single"/>
          <w:lang w:eastAsia="el-GR"/>
        </w:rPr>
        <w:t>Παραδείγματα</w:t>
      </w:r>
      <w:r w:rsidRPr="00D81B60">
        <w:rPr>
          <w:rFonts w:ascii="Verdana" w:eastAsia="Times New Roman" w:hAnsi="Verdana" w:cs="Arial"/>
          <w:lang w:eastAsia="el-GR"/>
        </w:rPr>
        <w:t>:</w:t>
      </w:r>
      <w:r w:rsidRPr="00D81B60">
        <w:rPr>
          <w:rFonts w:ascii="Verdana" w:eastAsia="Times New Roman" w:hAnsi="Verdana" w:cs="Arial"/>
          <w:lang w:eastAsia="el-GR"/>
        </w:rPr>
        <w:br/>
      </w:r>
      <w:r w:rsidRPr="00D81B60">
        <w:rPr>
          <w:rFonts w:ascii="Verdana" w:eastAsia="Times New Roman" w:hAnsi="Verdana" w:cs="Arial"/>
          <w:lang w:eastAsia="el-GR"/>
        </w:rPr>
        <w:br/>
        <w:t>α) Αν μια επιταγή λήγει στις 10 Απριλίου 2020, θα πρέπει να πληρωθεί μετά από 75 ημέρες (δηλαδή στις 24 Ιουνίου).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β) Αν μια επιταγή λήγει στις 30 Μαΐου 2020, θα πρέπει να πληρωθεί μετά από 75 ημέρες (δηλαδή στις 13 Αυγούστου).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γ) Αν μια επιταγή λήγει στις 2 Ιουνίου 2020, θα πληρωθεί κανονικά (είναι εκτός του οριζόμενου διαστήματος «προστασίας»).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b/>
          <w:bCs/>
          <w:lang w:eastAsia="el-GR"/>
        </w:rPr>
      </w:pPr>
      <w:r w:rsidRPr="00D81B60">
        <w:rPr>
          <w:rFonts w:ascii="Verdana" w:eastAsia="Times New Roman" w:hAnsi="Verdana" w:cs="Arial"/>
          <w:b/>
          <w:bCs/>
          <w:lang w:eastAsia="el-GR"/>
        </w:rPr>
        <w:t>4) Ποιοι έχουν Υποχρέωση «Ηλεκτρονικής διαβίβασης»;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Πρέπει να διαβιβασθούν ηλεκτρονικά από όποιον έλκει δικαίωμα ή έχει υποχρέωση, όπως από τους: α) εκδότες ή β) αποδέκτες ή γ) κομιστές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b/>
          <w:bCs/>
          <w:lang w:eastAsia="el-GR"/>
        </w:rPr>
      </w:pPr>
      <w:r w:rsidRPr="00D81B60">
        <w:rPr>
          <w:rFonts w:ascii="Verdana" w:eastAsia="Times New Roman" w:hAnsi="Verdana" w:cs="Arial"/>
          <w:b/>
          <w:bCs/>
          <w:lang w:eastAsia="el-GR"/>
        </w:rPr>
        <w:t>5) Που και πως διαβιβάζονται Ηλεκτρονικά;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Πρέπει να διαβιβασθούν ηλεκτρονικά, στα πιστωτικά ιδρύματα που λειτουργούν στην Ελλάδα με οποιαδήποτε μορφή, περιλαμβανομένων των υποκαταστημάτων αλλοδαπών πιστωτικών ιδρυμάτων που εμπίπτουν στο πεδίο εφαρμογής του ν. </w:t>
      </w:r>
      <w:hyperlink r:id="rId7" w:tgtFrame="_blank" w:history="1">
        <w:r w:rsidRPr="00D81B60">
          <w:rPr>
            <w:rFonts w:ascii="Verdana" w:eastAsia="Times New Roman" w:hAnsi="Verdana" w:cs="Arial"/>
            <w:lang w:eastAsia="el-GR"/>
          </w:rPr>
          <w:t>4261/2014</w:t>
        </w:r>
      </w:hyperlink>
      <w:r w:rsidRPr="00D81B60">
        <w:rPr>
          <w:rFonts w:ascii="Verdana" w:eastAsia="Times New Roman" w:hAnsi="Verdana" w:cs="Arial"/>
          <w:lang w:eastAsia="el-GR"/>
        </w:rPr>
        <w:t> (Α΄ 107), του Ταμείου Παρακαταθηκών και Δανείων, των ιδρυμάτων πληρωμών του ν. </w:t>
      </w:r>
      <w:hyperlink r:id="rId8" w:tgtFrame="_blank" w:history="1">
        <w:r w:rsidRPr="00D81B60">
          <w:rPr>
            <w:rFonts w:ascii="Verdana" w:eastAsia="Times New Roman" w:hAnsi="Verdana" w:cs="Arial"/>
            <w:lang w:eastAsia="el-GR"/>
          </w:rPr>
          <w:t>4537/2018</w:t>
        </w:r>
      </w:hyperlink>
      <w:r w:rsidRPr="00D81B60">
        <w:rPr>
          <w:rFonts w:ascii="Verdana" w:eastAsia="Times New Roman" w:hAnsi="Verdana" w:cs="Arial"/>
          <w:lang w:eastAsia="el-GR"/>
        </w:rPr>
        <w:t> (Α΄ 84), των ιδρυμάτων ηλεκτρονικού χρήματος του ν. </w:t>
      </w:r>
      <w:hyperlink r:id="rId9" w:tgtFrame="_blank" w:history="1">
        <w:r w:rsidRPr="00D81B60">
          <w:rPr>
            <w:rFonts w:ascii="Verdana" w:eastAsia="Times New Roman" w:hAnsi="Verdana" w:cs="Arial"/>
            <w:lang w:eastAsia="el-GR"/>
          </w:rPr>
          <w:t>4021/2011</w:t>
        </w:r>
      </w:hyperlink>
      <w:r w:rsidRPr="00D81B60">
        <w:rPr>
          <w:rFonts w:ascii="Verdana" w:eastAsia="Times New Roman" w:hAnsi="Verdana" w:cs="Arial"/>
          <w:lang w:eastAsia="el-GR"/>
        </w:rPr>
        <w:t> (Α΄ 218), καθώς και των υποκαταστημάτων και των αντιπροσώπων ιδρυμάτων πληρωμών και ιδρυμάτων ηλεκτρονικού χρήματος που εδρεύουν σε άλλα κράτη και λειτουργούν νόμιμα στην Ελλάδα.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lastRenderedPageBreak/>
        <w:t>Η διαβίβαση και γνωστοποίηση των αξιογράφων, πραγματοποιείται μέσω «ειδικής σχετικής ηλεκτρονικής εφαρμογής» των πιστωτικών ιδρυμάτων μέσω του συστήματος πληρωμών της εταιρίας ΔΙΑΣ ΑΕ ή και της εταιρίας ΤΕΙΡΕΣΙΑΣ ΑΕ, η οποία λειτουργεί σύμφωνα με τις οδηγίες των πιστωτικών ιδρυμάτων.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Η διαβίβαση των αξιογράφων στα πιστωτικά ιδρύματα, πρέπει να γίνει προκειμένου να ισχύσει για αυτά η προβλεπόμενη αναστολή των προθεσμιών.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Τα πιστωτικά ιδρύματα δύνανται να λαμβάνουν τα απαιτούμενα στοιχεία από τη Φορολογική Διοίκηση.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b/>
          <w:bCs/>
          <w:lang w:eastAsia="el-GR"/>
        </w:rPr>
      </w:pPr>
      <w:r w:rsidRPr="00D81B60">
        <w:rPr>
          <w:rFonts w:ascii="Verdana" w:eastAsia="Times New Roman" w:hAnsi="Verdana" w:cs="Arial"/>
          <w:b/>
          <w:bCs/>
          <w:lang w:eastAsia="el-GR"/>
        </w:rPr>
        <w:t>6) Ποια είναι η Προθεσμία της «Ηλεκτρονικής διαβίβασης»;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α) Εντός τριών (3) εργάσιμων ημερών από την έναρξη ισχύος της παρούσας [</w:t>
      </w:r>
      <w:hyperlink r:id="rId10" w:history="1">
        <w:r w:rsidRPr="00D81B60">
          <w:rPr>
            <w:rFonts w:ascii="Verdana" w:eastAsia="Times New Roman" w:hAnsi="Verdana" w:cs="Arial"/>
            <w:lang w:eastAsia="el-GR"/>
          </w:rPr>
          <w:t>η ΠΝΠ, εκδόθηκε 30-3-2020</w:t>
        </w:r>
      </w:hyperlink>
      <w:r w:rsidRPr="00D81B60">
        <w:rPr>
          <w:rFonts w:ascii="Verdana" w:eastAsia="Times New Roman" w:hAnsi="Verdana" w:cs="Arial"/>
          <w:lang w:eastAsia="el-GR"/>
        </w:rPr>
        <w:t xml:space="preserve">. Άρα έως 2-4-2020 (*)] για τις επιχειρήσεις που περιλαμβάνονται ήδη στις </w:t>
      </w:r>
      <w:proofErr w:type="spellStart"/>
      <w:r w:rsidRPr="00D81B60">
        <w:rPr>
          <w:rFonts w:ascii="Verdana" w:eastAsia="Times New Roman" w:hAnsi="Verdana" w:cs="Arial"/>
          <w:lang w:eastAsia="el-GR"/>
        </w:rPr>
        <w:t>πληττόμενες</w:t>
      </w:r>
      <w:proofErr w:type="spellEnd"/>
      <w:r w:rsidRPr="00D81B60">
        <w:rPr>
          <w:rFonts w:ascii="Verdana" w:eastAsia="Times New Roman" w:hAnsi="Verdana" w:cs="Arial"/>
          <w:lang w:eastAsia="el-GR"/>
        </w:rPr>
        <w:t xml:space="preserve"> επιχειρήσεις [περ. 2α]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 xml:space="preserve">β) Εντός τριών (3) εργάσιμων ημερών από την επόμενη της συμπερίληψης των συγκεκριμένων ΚΑΔ στις </w:t>
      </w:r>
      <w:proofErr w:type="spellStart"/>
      <w:r w:rsidRPr="00D81B60">
        <w:rPr>
          <w:rFonts w:ascii="Verdana" w:eastAsia="Times New Roman" w:hAnsi="Verdana" w:cs="Arial"/>
          <w:lang w:eastAsia="el-GR"/>
        </w:rPr>
        <w:t>πληττόμενες</w:t>
      </w:r>
      <w:proofErr w:type="spellEnd"/>
      <w:r w:rsidRPr="00D81B60">
        <w:rPr>
          <w:rFonts w:ascii="Verdana" w:eastAsia="Times New Roman" w:hAnsi="Verdana" w:cs="Arial"/>
          <w:lang w:eastAsia="el-GR"/>
        </w:rPr>
        <w:t xml:space="preserve"> επιχειρήσεις [περ. 2β]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(*) Η «ειδική σχετική ηλεκτρονική εφαρμογή», δεν έχει τεθεί σε λειτουργία. Με απόφαση του Υπουργού Οικονομικών δύναται να ρυθμίζεται κάθε αναγκαία λεπτομέρεια για την εφαρμογή της παρούσας.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b/>
          <w:bCs/>
          <w:lang w:eastAsia="el-GR"/>
        </w:rPr>
      </w:pPr>
      <w:r w:rsidRPr="00D81B60">
        <w:rPr>
          <w:rFonts w:ascii="Verdana" w:eastAsia="Times New Roman" w:hAnsi="Verdana" w:cs="Arial"/>
          <w:b/>
          <w:bCs/>
          <w:lang w:eastAsia="el-GR"/>
        </w:rPr>
        <w:t xml:space="preserve">7) Δυνατότητα των «κομιστών αξιογράφων», να ενταχθούν στις </w:t>
      </w:r>
      <w:proofErr w:type="spellStart"/>
      <w:r w:rsidRPr="00D81B60">
        <w:rPr>
          <w:rFonts w:ascii="Verdana" w:eastAsia="Times New Roman" w:hAnsi="Verdana" w:cs="Arial"/>
          <w:b/>
          <w:bCs/>
          <w:lang w:eastAsia="el-GR"/>
        </w:rPr>
        <w:t>πληττόμενες</w:t>
      </w:r>
      <w:proofErr w:type="spellEnd"/>
      <w:r w:rsidRPr="00D81B60">
        <w:rPr>
          <w:rFonts w:ascii="Verdana" w:eastAsia="Times New Roman" w:hAnsi="Verdana" w:cs="Arial"/>
          <w:b/>
          <w:bCs/>
          <w:lang w:eastAsia="el-GR"/>
        </w:rPr>
        <w:t xml:space="preserve"> επιχειρήσεις (Ατομικά ως Επιχείρηση, ακόμα και αν δεν ανήκουν στους «</w:t>
      </w:r>
      <w:proofErr w:type="spellStart"/>
      <w:r w:rsidRPr="00D81B60">
        <w:rPr>
          <w:rFonts w:ascii="Verdana" w:eastAsia="Times New Roman" w:hAnsi="Verdana" w:cs="Arial"/>
          <w:b/>
          <w:bCs/>
          <w:lang w:eastAsia="el-GR"/>
        </w:rPr>
        <w:t>πληττόμενους</w:t>
      </w:r>
      <w:proofErr w:type="spellEnd"/>
      <w:r w:rsidRPr="00D81B60">
        <w:rPr>
          <w:rFonts w:ascii="Verdana" w:eastAsia="Times New Roman" w:hAnsi="Verdana" w:cs="Arial"/>
          <w:b/>
          <w:bCs/>
          <w:lang w:eastAsia="el-GR"/>
        </w:rPr>
        <w:t xml:space="preserve"> ΚΑΔ»)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 xml:space="preserve">Οι κομιστές αξιογράφων, οι οποίοι, δεν δραστηριοποιούνται σε Κωδικούς Αριθμούς Δραστηριότητας (ΚΑΔ) των επιχειρήσεων της περίπτωσης 2α, δύνανται να ενταχθούν ατομικά στις </w:t>
      </w:r>
      <w:proofErr w:type="spellStart"/>
      <w:r w:rsidRPr="00D81B60">
        <w:rPr>
          <w:rFonts w:ascii="Verdana" w:eastAsia="Times New Roman" w:hAnsi="Verdana" w:cs="Arial"/>
          <w:lang w:eastAsia="el-GR"/>
        </w:rPr>
        <w:t>πληττόμενες</w:t>
      </w:r>
      <w:proofErr w:type="spellEnd"/>
      <w:r w:rsidRPr="00D81B60">
        <w:rPr>
          <w:rFonts w:ascii="Verdana" w:eastAsia="Times New Roman" w:hAnsi="Verdana" w:cs="Arial"/>
          <w:lang w:eastAsia="el-GR"/>
        </w:rPr>
        <w:t xml:space="preserve"> επιχειρήσεις και να υπαχθούν στις αντίστοιχες ρυθμίσεις από την 1η Απριλίου 2020 και εφεξής [προφανώς η «ειδική εφαρμογή» θα ενημερωθεί από τον «κομιστή του αξιογράφου» και θα μπορεί να «τσεκάρει», εάν για τα αξιόγραφα αυτά έχει αιτηθεί «προστασία»] , εφόσον: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br/>
        <w:t xml:space="preserve">Το σύνολο της αξίας των αξιογράφων που αναστέλλονται, σύμφωνα με την ανωτέρω </w:t>
      </w:r>
      <w:r w:rsidRPr="00D81B60">
        <w:rPr>
          <w:rFonts w:ascii="Verdana" w:eastAsia="Times New Roman" w:hAnsi="Verdana" w:cs="Arial"/>
          <w:lang w:eastAsia="el-GR"/>
        </w:rPr>
        <w:lastRenderedPageBreak/>
        <w:t>διαδικασία, είναι: Μεγαλύτερο του είκοσι τοις εκατό (20%) του μέσου μηνιαίου κύκλου συναλλαγών τους του αμέσως προηγούμενου φορολογικού έτους, όπως αυτός υπολογίζεται με βάση τις συνολικές εκροές που έχουν περιληφθεί σε αρχικές και τροποποιητικές, εμπρόθεσμες ή εκπρόθεσμες δηλώσεις ΦΠΑ.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u w:val="single"/>
          <w:lang w:eastAsia="el-GR"/>
        </w:rPr>
        <w:t>Παράδειγμα</w:t>
      </w:r>
      <w:r w:rsidRPr="00D81B60">
        <w:rPr>
          <w:rFonts w:ascii="Verdana" w:eastAsia="Times New Roman" w:hAnsi="Verdana" w:cs="Arial"/>
          <w:lang w:eastAsia="el-GR"/>
        </w:rPr>
        <w:t>:</w:t>
      </w:r>
      <w:r w:rsidRPr="00D81B60">
        <w:rPr>
          <w:rFonts w:ascii="Verdana" w:eastAsia="Times New Roman" w:hAnsi="Verdana" w:cs="Arial"/>
          <w:lang w:eastAsia="el-GR"/>
        </w:rPr>
        <w:br/>
      </w:r>
      <w:r w:rsidRPr="00D81B60">
        <w:rPr>
          <w:rFonts w:ascii="Verdana" w:eastAsia="Times New Roman" w:hAnsi="Verdana" w:cs="Arial"/>
          <w:lang w:eastAsia="el-GR"/>
        </w:rPr>
        <w:br/>
        <w:t>Επιχείρηση, κομιστής αξιογράφων που αναστέλλονται, ποσού 200.000 ευρώ, έχει μέσο μηνιαίο κύκλο συναλλαγών, για το έτος 2019, 900.000 ευρώ.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Έχει την δυνατότητα να ενταχθεί στις «</w:t>
      </w:r>
      <w:proofErr w:type="spellStart"/>
      <w:r w:rsidRPr="00D81B60">
        <w:rPr>
          <w:rFonts w:ascii="Verdana" w:eastAsia="Times New Roman" w:hAnsi="Verdana" w:cs="Arial"/>
          <w:lang w:eastAsia="el-GR"/>
        </w:rPr>
        <w:t>πληττόμενες</w:t>
      </w:r>
      <w:proofErr w:type="spellEnd"/>
      <w:r w:rsidRPr="00D81B60">
        <w:rPr>
          <w:rFonts w:ascii="Verdana" w:eastAsia="Times New Roman" w:hAnsi="Verdana" w:cs="Arial"/>
          <w:lang w:eastAsia="el-GR"/>
        </w:rPr>
        <w:t xml:space="preserve"> επιχειρήσεις», αφού το 200.000/900.000, είναι μεγαλύτερο από το 20%.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bookmarkStart w:id="0" w:name="_GoBack"/>
      <w:bookmarkEnd w:id="0"/>
      <w:r w:rsidRPr="00D81B60">
        <w:rPr>
          <w:rFonts w:ascii="Verdana" w:eastAsia="Times New Roman" w:hAnsi="Verdana" w:cs="Arial"/>
          <w:b/>
          <w:bCs/>
          <w:u w:val="single"/>
          <w:lang w:eastAsia="el-GR"/>
        </w:rPr>
        <w:t>Προσοχή</w:t>
      </w:r>
      <w:r w:rsidRPr="00D81B60">
        <w:rPr>
          <w:rFonts w:ascii="Verdana" w:eastAsia="Times New Roman" w:hAnsi="Verdana" w:cs="Arial"/>
          <w:lang w:eastAsia="el-GR"/>
        </w:rPr>
        <w:t>:</w:t>
      </w:r>
      <w:r w:rsidRPr="00D81B60">
        <w:rPr>
          <w:rFonts w:ascii="Verdana" w:eastAsia="Times New Roman" w:hAnsi="Verdana" w:cs="Arial"/>
          <w:lang w:eastAsia="el-GR"/>
        </w:rPr>
        <w:br/>
      </w:r>
      <w:r w:rsidRPr="00D81B60">
        <w:rPr>
          <w:rFonts w:ascii="Verdana" w:eastAsia="Times New Roman" w:hAnsi="Verdana" w:cs="Arial"/>
          <w:lang w:eastAsia="el-GR"/>
        </w:rPr>
        <w:br/>
        <w:t>Εξαίρεση υπαγωγής, παρόλο το σύνολο της αξίας των αξιογράφων που αναστέλλονται είναι μεγαλύτερο του 20%: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 xml:space="preserve">Εξαιρούνται οι κομιστές που ανήκουν σε ΚΑΔ των επιχειρήσεων που παρουσιάζουν σημαντική αύξηση του κύκλου των συναλλαγών τους στη διάρκεια της κρίσης από την επιδημία του </w:t>
      </w:r>
      <w:proofErr w:type="spellStart"/>
      <w:r w:rsidRPr="00D81B60">
        <w:rPr>
          <w:rFonts w:ascii="Verdana" w:eastAsia="Times New Roman" w:hAnsi="Verdana" w:cs="Arial"/>
          <w:lang w:eastAsia="el-GR"/>
        </w:rPr>
        <w:t>κορωνοϊού</w:t>
      </w:r>
      <w:proofErr w:type="spellEnd"/>
      <w:r w:rsidRPr="00D81B60">
        <w:rPr>
          <w:rFonts w:ascii="Verdana" w:eastAsia="Times New Roman" w:hAnsi="Verdana" w:cs="Arial"/>
          <w:lang w:eastAsia="el-GR"/>
        </w:rPr>
        <w:t xml:space="preserve"> COVID-19.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 xml:space="preserve">Με απόφαση του Υπουργού Οικονομικών ορίζονται οι ΚΑΔ που παρουσιάζουν σημαντική αύξηση του κύκλου συναλλαγών τους στη διάρκεια της κρίσης από την επιδημία του </w:t>
      </w:r>
      <w:proofErr w:type="spellStart"/>
      <w:r w:rsidRPr="00D81B60">
        <w:rPr>
          <w:rFonts w:ascii="Verdana" w:eastAsia="Times New Roman" w:hAnsi="Verdana" w:cs="Arial"/>
          <w:lang w:eastAsia="el-GR"/>
        </w:rPr>
        <w:t>κορωνοϊού</w:t>
      </w:r>
      <w:proofErr w:type="spellEnd"/>
      <w:r w:rsidRPr="00D81B60">
        <w:rPr>
          <w:rFonts w:ascii="Verdana" w:eastAsia="Times New Roman" w:hAnsi="Verdana" w:cs="Arial"/>
          <w:lang w:eastAsia="el-GR"/>
        </w:rPr>
        <w:t xml:space="preserve"> COVID-19.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Με όμοια απόφαση, που εκδίδεται ύστερα από εισήγηση του Διοικητή της ΑΑΔΕ, καθορίζονται τα απαιτούμενα στοιχεία και δικαιολογητικά για την εφαρμογή της παρούσας, οι διαδικασίες αποστολής ή διαβίβασής τους στη Φορολογική Διοίκηση από τους φορολογουμένους ή τρίτους, καθώς και κάθε άλλη αναγκαία λεπτομέρεια τεχνικού ή διαδικαστικού χαρακτήρα.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b/>
          <w:bCs/>
          <w:lang w:eastAsia="el-GR"/>
        </w:rPr>
      </w:pPr>
      <w:r w:rsidRPr="00D81B60">
        <w:rPr>
          <w:rFonts w:ascii="Verdana" w:eastAsia="Times New Roman" w:hAnsi="Verdana" w:cs="Arial"/>
          <w:b/>
          <w:bCs/>
          <w:lang w:eastAsia="el-GR"/>
        </w:rPr>
        <w:t>8) Υπάρχει, δυνατότητα εξόφλησης στην αναγραφόμενη ημερομηνία λήξης, μετά από αμοιβαία συμφωνία;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lastRenderedPageBreak/>
        <w:t>Ναι. Μπορεί ο υπόχρεος πληρωμής και ο δικαιούχος είσπραξης, να συμφωνήσουν μεταξύ τους, την απευθείας πληρωμή του αξιογράφου από τον υπόχρεο στον δικαιούχο στην αρχικά αναγραφόμενη ημερομηνία λήξης.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b/>
          <w:bCs/>
          <w:lang w:eastAsia="el-GR"/>
        </w:rPr>
      </w:pPr>
      <w:r w:rsidRPr="00D81B60">
        <w:rPr>
          <w:rFonts w:ascii="Verdana" w:eastAsia="Times New Roman" w:hAnsi="Verdana" w:cs="Arial"/>
          <w:b/>
          <w:bCs/>
          <w:lang w:eastAsia="el-GR"/>
        </w:rPr>
        <w:t>9) Διευκρινήσεις που πρέπει να δοθούν.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α) Πως θα τηρηθεί η Προθεσμία (εντός 3 ημερών), που ούτως ή άλλως είναι ασφυκτική, ενώ δεν έχει ανοίξει η «ειδική εφαρμογή»;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β) Πότε θα εκδοθούν οι προβλεπόμενες ανωτέρω αποφάσεις/διευκρινήσεις;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γ) Διευκρινήσεις χρειάζονται για τον υπόχρεο της «ηλεκτρονικής διαβίβασης» (περιλαμβάνονται και οι «αποδέκτες»;)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b/>
          <w:bCs/>
          <w:lang w:eastAsia="el-GR"/>
        </w:rPr>
        <w:t xml:space="preserve">10) Σημεία που πρέπει να προσέξουν οι Επιχειρήσεις (είτε είναι </w:t>
      </w:r>
      <w:proofErr w:type="spellStart"/>
      <w:r w:rsidRPr="00D81B60">
        <w:rPr>
          <w:rFonts w:ascii="Verdana" w:eastAsia="Times New Roman" w:hAnsi="Verdana" w:cs="Arial"/>
          <w:b/>
          <w:bCs/>
          <w:lang w:eastAsia="el-GR"/>
        </w:rPr>
        <w:t>πληττόμενες</w:t>
      </w:r>
      <w:proofErr w:type="spellEnd"/>
      <w:r w:rsidRPr="00D81B60">
        <w:rPr>
          <w:rFonts w:ascii="Verdana" w:eastAsia="Times New Roman" w:hAnsi="Verdana" w:cs="Arial"/>
          <w:b/>
          <w:bCs/>
          <w:lang w:eastAsia="el-GR"/>
        </w:rPr>
        <w:t>, είτε όχι)</w:t>
      </w:r>
      <w:r w:rsidRPr="00D81B60">
        <w:rPr>
          <w:rFonts w:ascii="Verdana" w:eastAsia="Times New Roman" w:hAnsi="Verdana" w:cs="Arial"/>
          <w:b/>
          <w:bCs/>
          <w:lang w:eastAsia="el-GR"/>
        </w:rPr>
        <w:br/>
      </w:r>
      <w:r w:rsidRPr="00D81B60">
        <w:rPr>
          <w:rFonts w:ascii="Verdana" w:eastAsia="Times New Roman" w:hAnsi="Verdana" w:cs="Arial"/>
          <w:lang w:eastAsia="el-GR"/>
        </w:rPr>
        <w:br/>
        <w:t>α) «Μετρήστε» τις επιταγές που εκδώσατε και δεν έχουν λήξει ακόμα, ώστε να τα καταχωρήσετε σε ειδική εφαρμογή, για να «προστατευτούν»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β) «Μετρήστε» τις επιταγές που σας έδωσαν πελάτες σας και εσείς έχετε δώσει σε προμηθευτές ή τράπεζες και δεν έχουν λήξει ακόμα, ώστε να δείτε την «έκθεση» σας απέναντι στους προμηθευτές ή τράπεζες.</w:t>
      </w:r>
    </w:p>
    <w:p w:rsid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γ) Υπολογίστε την «Ρευστότητά» σας μετά τα ανωτέρω δεδομένα.</w:t>
      </w:r>
    </w:p>
    <w:p w:rsidR="00D81B60" w:rsidRPr="00D81B60" w:rsidRDefault="00D81B60" w:rsidP="00D81B60">
      <w:pPr>
        <w:spacing w:before="300" w:after="300" w:line="360" w:lineRule="auto"/>
        <w:jc w:val="both"/>
        <w:rPr>
          <w:rFonts w:ascii="Verdana" w:eastAsia="Times New Roman" w:hAnsi="Verdana" w:cs="Arial"/>
          <w:lang w:eastAsia="el-GR"/>
        </w:rPr>
      </w:pPr>
      <w:r w:rsidRPr="00D81B60">
        <w:rPr>
          <w:rFonts w:ascii="Verdana" w:eastAsia="Times New Roman" w:hAnsi="Verdana" w:cs="Arial"/>
          <w:lang w:eastAsia="el-GR"/>
        </w:rPr>
        <w:t>Θα επανέλθουμε, μετά την έκδοση των διευκρινιστικών αποφάσεων.</w:t>
      </w:r>
      <w:r w:rsidRPr="00D81B60">
        <w:rPr>
          <w:rFonts w:ascii="Verdana" w:eastAsia="Times New Roman" w:hAnsi="Verdana" w:cs="Arial"/>
          <w:lang w:eastAsia="el-GR"/>
        </w:rPr>
        <w:br/>
        <w:t> </w:t>
      </w:r>
    </w:p>
    <w:p w:rsidR="00DF4D39" w:rsidRPr="00D81B60" w:rsidRDefault="00DF4D39" w:rsidP="00D81B60">
      <w:pPr>
        <w:spacing w:line="360" w:lineRule="auto"/>
        <w:rPr>
          <w:rFonts w:ascii="Verdana" w:hAnsi="Verdana"/>
        </w:rPr>
      </w:pPr>
    </w:p>
    <w:sectPr w:rsidR="00DF4D39" w:rsidRPr="00D81B60" w:rsidSect="00D81B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60"/>
    <w:rsid w:val="005D5B32"/>
    <w:rsid w:val="00D81B60"/>
    <w:rsid w:val="00DF4D39"/>
    <w:rsid w:val="00F5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D8D32-3C2D-4EE2-BC51-A08A34F7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D81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D81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1B6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81B6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D8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81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heaven.gr/laws/law/index/law/8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xheaven.gr/laws/law/index/law/5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xheaven.gr/laws/view/index/law/%25CE%25A0%25CE%259D%25CE%25A011.03.2020/year/2020/article/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axheaven.gr/laws/view/index/law/%25CE%25A0%25CE%259D%25CE%25A011.03.2020/year/2020/article/2/paragraph/2" TargetMode="External"/><Relationship Id="rId10" Type="http://schemas.openxmlformats.org/officeDocument/2006/relationships/hyperlink" Target="https://www.taxheaven.gr/law/%CE%A0%CE%9D%CE%A030.03.2020/2020" TargetMode="External"/><Relationship Id="rId4" Type="http://schemas.openxmlformats.org/officeDocument/2006/relationships/hyperlink" Target="https://www.taxheaven.gr/laws/view/index/law/%25CE%25A0%25CE%259D%25CE%25A011.03.2020/year/2020/article/1/paragraph/2" TargetMode="External"/><Relationship Id="rId9" Type="http://schemas.openxmlformats.org/officeDocument/2006/relationships/hyperlink" Target="https://www.taxheaven.gr/laws/law/index/law/38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1198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konstantinou</dc:creator>
  <cp:keywords/>
  <dc:description/>
  <cp:lastModifiedBy>konstantinou</cp:lastModifiedBy>
  <cp:revision>1</cp:revision>
  <dcterms:created xsi:type="dcterms:W3CDTF">2020-04-01T05:34:00Z</dcterms:created>
  <dcterms:modified xsi:type="dcterms:W3CDTF">2020-04-01T05:46:00Z</dcterms:modified>
</cp:coreProperties>
</file>